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5F328" w14:textId="2D94A206" w:rsidR="00E96F82" w:rsidRDefault="00E96F82" w:rsidP="00E96F82">
      <w:pPr>
        <w:ind w:right="720"/>
        <w:rPr>
          <w:rFonts w:ascii="Arial" w:hAnsi="Arial" w:cs="Arial"/>
          <w:b/>
          <w:bCs/>
          <w:sz w:val="24"/>
          <w:szCs w:val="24"/>
        </w:rPr>
      </w:pPr>
      <w:r>
        <w:rPr>
          <w:rFonts w:ascii="Arial" w:hAnsi="Arial" w:cs="Arial"/>
          <w:b/>
          <w:bCs/>
          <w:sz w:val="24"/>
          <w:szCs w:val="24"/>
        </w:rPr>
        <w:t xml:space="preserve">FACILITIES COVERED </w:t>
      </w:r>
    </w:p>
    <w:p w14:paraId="4BC8FBDE" w14:textId="77777777" w:rsidR="00E96F82" w:rsidRDefault="00E96F82" w:rsidP="00E96F82">
      <w:pPr>
        <w:ind w:right="720"/>
        <w:rPr>
          <w:rFonts w:ascii="Arial" w:hAnsi="Arial" w:cs="Arial"/>
          <w:b/>
          <w:bCs/>
          <w:sz w:val="24"/>
          <w:szCs w:val="24"/>
        </w:rPr>
      </w:pPr>
    </w:p>
    <w:p w14:paraId="48E96390" w14:textId="3CDECAC6" w:rsidR="00E96F82" w:rsidRPr="00DF0B13" w:rsidRDefault="00E96F82" w:rsidP="00E96F82">
      <w:pPr>
        <w:ind w:right="720"/>
        <w:rPr>
          <w:rFonts w:ascii="Arial" w:hAnsi="Arial" w:cs="Arial"/>
          <w:b/>
          <w:bCs/>
          <w:sz w:val="24"/>
          <w:szCs w:val="24"/>
        </w:rPr>
      </w:pPr>
      <w:r w:rsidRPr="00DF0B13">
        <w:rPr>
          <w:rFonts w:ascii="Arial" w:hAnsi="Arial" w:cs="Arial"/>
          <w:b/>
          <w:bCs/>
          <w:sz w:val="24"/>
          <w:szCs w:val="24"/>
        </w:rPr>
        <w:t>Interpretive Design Center (IDC)</w:t>
      </w:r>
    </w:p>
    <w:p w14:paraId="3C9D68D3" w14:textId="455D3BB9" w:rsidR="00E96F82" w:rsidRDefault="00E96F82" w:rsidP="00E96F82">
      <w:pPr>
        <w:ind w:right="720"/>
        <w:jc w:val="both"/>
        <w:rPr>
          <w:rFonts w:ascii="Arial" w:hAnsi="Arial" w:cs="Arial"/>
          <w:sz w:val="24"/>
          <w:szCs w:val="24"/>
        </w:rPr>
      </w:pPr>
      <w:r>
        <w:rPr>
          <w:rFonts w:ascii="Arial" w:hAnsi="Arial" w:cs="Arial"/>
          <w:sz w:val="24"/>
          <w:szCs w:val="24"/>
        </w:rPr>
        <w:t>T</w:t>
      </w:r>
      <w:r w:rsidRPr="00DF0B13">
        <w:rPr>
          <w:rFonts w:ascii="Arial" w:hAnsi="Arial" w:cs="Arial"/>
          <w:sz w:val="24"/>
          <w:szCs w:val="24"/>
        </w:rPr>
        <w:t>he modern 3-story brick and masonry building has a square footage of 33,640. The IDC is used for interpretive planning, graphics and media design, offices, meeting rooms, production support spaces, bathrooms, breakrooms, and kitchens. There is a loading dock, two stairwells, and an elevator. Special events are held at this location roughly 6 times per year.</w:t>
      </w:r>
    </w:p>
    <w:p w14:paraId="7DCB3FF7" w14:textId="77777777" w:rsidR="00E96F82" w:rsidRPr="00DF0B13" w:rsidRDefault="00E96F82" w:rsidP="00E96F82">
      <w:pPr>
        <w:ind w:left="1440" w:right="720"/>
        <w:jc w:val="both"/>
        <w:rPr>
          <w:rFonts w:ascii="Arial" w:hAnsi="Arial" w:cs="Arial"/>
          <w:sz w:val="24"/>
          <w:szCs w:val="24"/>
        </w:rPr>
      </w:pPr>
    </w:p>
    <w:p w14:paraId="7961D459" w14:textId="46863521" w:rsidR="00E96F82" w:rsidRPr="00DF0B13" w:rsidRDefault="00E96F82" w:rsidP="00E96F82">
      <w:pPr>
        <w:tabs>
          <w:tab w:val="left" w:pos="1440"/>
        </w:tabs>
        <w:ind w:right="720"/>
        <w:rPr>
          <w:rFonts w:ascii="Arial" w:hAnsi="Arial" w:cs="Arial"/>
          <w:b/>
          <w:bCs/>
          <w:sz w:val="24"/>
          <w:szCs w:val="24"/>
        </w:rPr>
      </w:pPr>
      <w:r w:rsidRPr="00DF0B13">
        <w:rPr>
          <w:rFonts w:ascii="Arial" w:hAnsi="Arial" w:cs="Arial"/>
          <w:b/>
          <w:bCs/>
          <w:sz w:val="24"/>
          <w:szCs w:val="24"/>
        </w:rPr>
        <w:t>Lewis Anthony Library</w:t>
      </w:r>
    </w:p>
    <w:p w14:paraId="391C50A5" w14:textId="77777777" w:rsidR="00E96F82" w:rsidRDefault="00E96F82" w:rsidP="00E96F82">
      <w:pPr>
        <w:ind w:right="720"/>
        <w:jc w:val="both"/>
        <w:rPr>
          <w:rFonts w:ascii="Arial" w:hAnsi="Arial" w:cs="Arial"/>
          <w:sz w:val="24"/>
          <w:szCs w:val="24"/>
        </w:rPr>
      </w:pPr>
      <w:r w:rsidRPr="00DF0B13">
        <w:rPr>
          <w:rFonts w:ascii="Arial" w:hAnsi="Arial" w:cs="Arial"/>
          <w:sz w:val="24"/>
          <w:szCs w:val="24"/>
        </w:rPr>
        <w:t>The Lewis Anthony Library is a historic, stone 3-story building totaling 5,013 square feet. The primary use of this building is office and conference spaces, with bathrooms, breakrooms and a small kitchen. Historic materials and finishes require specialized care</w:t>
      </w:r>
      <w:r>
        <w:rPr>
          <w:rFonts w:ascii="Arial" w:hAnsi="Arial" w:cs="Arial"/>
          <w:sz w:val="24"/>
          <w:szCs w:val="24"/>
        </w:rPr>
        <w:t>.</w:t>
      </w:r>
    </w:p>
    <w:p w14:paraId="0E4E9C97" w14:textId="77777777" w:rsidR="00E96F82" w:rsidRDefault="00E96F82" w:rsidP="00E96F82">
      <w:pPr>
        <w:ind w:left="1440" w:right="720"/>
        <w:jc w:val="both"/>
        <w:rPr>
          <w:rFonts w:ascii="Arial" w:hAnsi="Arial" w:cs="Arial"/>
          <w:b/>
          <w:bCs/>
          <w:sz w:val="24"/>
          <w:szCs w:val="24"/>
        </w:rPr>
      </w:pPr>
    </w:p>
    <w:p w14:paraId="78DA0DBD" w14:textId="680B4921" w:rsidR="00E96F82" w:rsidRPr="006832B7" w:rsidRDefault="00E96F82" w:rsidP="00E96F82">
      <w:pPr>
        <w:ind w:right="720"/>
        <w:jc w:val="both"/>
        <w:rPr>
          <w:rFonts w:ascii="Arial" w:hAnsi="Arial" w:cs="Arial"/>
          <w:sz w:val="24"/>
          <w:szCs w:val="24"/>
        </w:rPr>
      </w:pPr>
      <w:r w:rsidRPr="00DF0B13">
        <w:rPr>
          <w:rFonts w:ascii="Arial" w:hAnsi="Arial" w:cs="Arial"/>
          <w:b/>
          <w:bCs/>
          <w:sz w:val="24"/>
          <w:szCs w:val="24"/>
        </w:rPr>
        <w:t>Bird Brady House</w:t>
      </w:r>
    </w:p>
    <w:p w14:paraId="604E1766" w14:textId="77777777" w:rsidR="00E96F82" w:rsidRDefault="00E96F82" w:rsidP="00E96F82">
      <w:pPr>
        <w:ind w:right="720"/>
        <w:jc w:val="both"/>
        <w:rPr>
          <w:rFonts w:ascii="Arial" w:hAnsi="Arial" w:cs="Arial"/>
          <w:sz w:val="24"/>
          <w:szCs w:val="24"/>
        </w:rPr>
      </w:pPr>
      <w:r w:rsidRPr="00DF0B13">
        <w:rPr>
          <w:rFonts w:ascii="Arial" w:hAnsi="Arial" w:cs="Arial"/>
          <w:sz w:val="24"/>
          <w:szCs w:val="24"/>
        </w:rPr>
        <w:t>This 4-story historic structure is approximately 4,749 square feet. This building is primarily used for offices and administrative functions. There are bathrooms, breakrooms, and a kitchen located in this building. Historic materials and finishes require specialized care.</w:t>
      </w:r>
    </w:p>
    <w:p w14:paraId="2EE49B1E" w14:textId="77777777" w:rsidR="00E96F82" w:rsidRPr="00DF0B13" w:rsidRDefault="00E96F82" w:rsidP="00E96F82">
      <w:pPr>
        <w:ind w:left="1440" w:right="720"/>
        <w:jc w:val="both"/>
        <w:rPr>
          <w:rFonts w:ascii="Arial" w:hAnsi="Arial" w:cs="Arial"/>
          <w:sz w:val="24"/>
          <w:szCs w:val="24"/>
        </w:rPr>
      </w:pPr>
    </w:p>
    <w:p w14:paraId="131F996E" w14:textId="0C8AB8A2" w:rsidR="00E96F82" w:rsidRDefault="00E96F82" w:rsidP="00E96F82">
      <w:pPr>
        <w:ind w:right="720"/>
        <w:jc w:val="both"/>
        <w:rPr>
          <w:rFonts w:ascii="Arial" w:hAnsi="Arial" w:cs="Arial"/>
          <w:b/>
          <w:bCs/>
          <w:sz w:val="24"/>
          <w:szCs w:val="24"/>
        </w:rPr>
      </w:pPr>
      <w:r w:rsidRPr="00DF0B13">
        <w:rPr>
          <w:rFonts w:ascii="Arial" w:hAnsi="Arial" w:cs="Arial"/>
          <w:b/>
          <w:bCs/>
          <w:sz w:val="24"/>
          <w:szCs w:val="24"/>
        </w:rPr>
        <w:t>Bomb Shelter</w:t>
      </w:r>
    </w:p>
    <w:p w14:paraId="3E4DC809" w14:textId="77777777" w:rsidR="00E96F82" w:rsidRDefault="00E96F82" w:rsidP="00E96F82">
      <w:pPr>
        <w:ind w:right="720"/>
        <w:jc w:val="both"/>
        <w:rPr>
          <w:rFonts w:ascii="Arial" w:hAnsi="Arial" w:cs="Arial"/>
          <w:sz w:val="24"/>
          <w:szCs w:val="24"/>
        </w:rPr>
      </w:pPr>
      <w:r w:rsidRPr="00DF0B13">
        <w:rPr>
          <w:rFonts w:ascii="Arial" w:hAnsi="Arial" w:cs="Arial"/>
          <w:sz w:val="24"/>
          <w:szCs w:val="24"/>
        </w:rPr>
        <w:t>This sub-terranean building is 5,929 square feet and is primarily used for archival storage, office space, and mechanical spaces.</w:t>
      </w:r>
    </w:p>
    <w:p w14:paraId="48FFC827" w14:textId="77777777" w:rsidR="00E96F82" w:rsidRPr="00DF0B13" w:rsidRDefault="00E96F82" w:rsidP="00E96F82">
      <w:pPr>
        <w:ind w:left="1440" w:right="720"/>
        <w:jc w:val="both"/>
        <w:rPr>
          <w:rFonts w:ascii="Arial" w:hAnsi="Arial" w:cs="Arial"/>
          <w:sz w:val="24"/>
          <w:szCs w:val="24"/>
        </w:rPr>
      </w:pPr>
    </w:p>
    <w:p w14:paraId="17AE5391" w14:textId="1E2D2786" w:rsidR="00E96F82" w:rsidRPr="00DF0B13" w:rsidRDefault="00E96F82" w:rsidP="00E96F82">
      <w:pPr>
        <w:ind w:right="720"/>
        <w:jc w:val="both"/>
        <w:rPr>
          <w:rFonts w:ascii="Arial" w:hAnsi="Arial" w:cs="Arial"/>
          <w:b/>
          <w:bCs/>
          <w:sz w:val="24"/>
          <w:szCs w:val="24"/>
        </w:rPr>
      </w:pPr>
      <w:r w:rsidRPr="00DF0B13">
        <w:rPr>
          <w:rFonts w:ascii="Arial" w:hAnsi="Arial" w:cs="Arial"/>
          <w:b/>
          <w:bCs/>
          <w:sz w:val="24"/>
          <w:szCs w:val="24"/>
        </w:rPr>
        <w:t>Stephen Mather Hall</w:t>
      </w:r>
    </w:p>
    <w:p w14:paraId="15C89B86" w14:textId="77777777" w:rsidR="00E96F82" w:rsidRPr="00DF0B13" w:rsidRDefault="00E96F82" w:rsidP="00E96F82">
      <w:pPr>
        <w:ind w:right="720"/>
        <w:jc w:val="both"/>
        <w:rPr>
          <w:rFonts w:ascii="Arial" w:hAnsi="Arial" w:cs="Arial"/>
          <w:sz w:val="24"/>
          <w:szCs w:val="24"/>
        </w:rPr>
      </w:pPr>
      <w:r w:rsidRPr="00DF0B13">
        <w:rPr>
          <w:rFonts w:ascii="Arial" w:hAnsi="Arial" w:cs="Arial"/>
          <w:sz w:val="24"/>
          <w:szCs w:val="24"/>
        </w:rPr>
        <w:t>The historic Stephan Mather Hall building is a 3-story, stone and brick masonry structure of 18,048 square feet. The primary use of this building is office and conference rooms with bathrooms, breakrooms, and a kitchen. Special events are held at this location roughly 6 times per year.</w:t>
      </w:r>
    </w:p>
    <w:p w14:paraId="771D5258" w14:textId="77777777" w:rsidR="00E96F82" w:rsidRDefault="00E96F82" w:rsidP="00E96F82">
      <w:pPr>
        <w:ind w:left="360" w:right="720"/>
        <w:jc w:val="both"/>
        <w:rPr>
          <w:rFonts w:ascii="Arial" w:hAnsi="Arial" w:cs="Arial"/>
          <w:b/>
          <w:bCs/>
          <w:sz w:val="24"/>
          <w:szCs w:val="24"/>
        </w:rPr>
      </w:pPr>
    </w:p>
    <w:p w14:paraId="4C031FD9" w14:textId="6D67A982" w:rsidR="00E96F82" w:rsidRPr="00DF0B13" w:rsidRDefault="00E96F82" w:rsidP="00E96F82">
      <w:pPr>
        <w:ind w:right="720"/>
        <w:jc w:val="both"/>
        <w:rPr>
          <w:rFonts w:ascii="Arial" w:hAnsi="Arial" w:cs="Arial"/>
          <w:b/>
          <w:bCs/>
          <w:sz w:val="24"/>
          <w:szCs w:val="24"/>
        </w:rPr>
      </w:pPr>
      <w:r w:rsidRPr="00DF0B13">
        <w:rPr>
          <w:rFonts w:ascii="Arial" w:hAnsi="Arial" w:cs="Arial"/>
          <w:b/>
          <w:bCs/>
          <w:sz w:val="24"/>
          <w:szCs w:val="24"/>
        </w:rPr>
        <w:t>Willow Springs</w:t>
      </w:r>
    </w:p>
    <w:p w14:paraId="2EE99C34" w14:textId="77777777" w:rsidR="00E96F82" w:rsidRPr="00DF0B13" w:rsidRDefault="00E96F82" w:rsidP="00E96F82">
      <w:pPr>
        <w:ind w:right="720"/>
        <w:jc w:val="both"/>
        <w:rPr>
          <w:rFonts w:ascii="Arial" w:hAnsi="Arial" w:cs="Arial"/>
          <w:sz w:val="24"/>
          <w:szCs w:val="24"/>
        </w:rPr>
      </w:pPr>
      <w:r w:rsidRPr="00DF0B13">
        <w:rPr>
          <w:rFonts w:ascii="Arial" w:hAnsi="Arial" w:cs="Arial"/>
          <w:sz w:val="24"/>
          <w:szCs w:val="24"/>
        </w:rPr>
        <w:t>The Willow Springs building is a leased facility of 39,018 square feet where the Museum Conservation and Collections Program is located. The building consists of conservation laboratories and workshops, collections and archival storage, shipping and receiving operations, offices, conference rooms, libraries, bathrooms, breakrooms, and a kitchen. Window Cleaning is not required for this building.</w:t>
      </w:r>
    </w:p>
    <w:p w14:paraId="531A3E99" w14:textId="77777777" w:rsidR="00E96F82" w:rsidRPr="00DF0B13" w:rsidRDefault="00E96F82" w:rsidP="00E96F82">
      <w:pPr>
        <w:rPr>
          <w:rFonts w:ascii="Arial" w:hAnsi="Arial" w:cs="Arial"/>
          <w:sz w:val="24"/>
          <w:szCs w:val="24"/>
        </w:rPr>
      </w:pPr>
    </w:p>
    <w:p w14:paraId="60CBC203" w14:textId="77777777" w:rsidR="00207249" w:rsidRDefault="00207249" w:rsidP="00E96F82"/>
    <w:sectPr w:rsidR="0020724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F164D" w14:textId="77777777" w:rsidR="001E0718" w:rsidRDefault="001E0718" w:rsidP="007655FA">
      <w:r>
        <w:separator/>
      </w:r>
    </w:p>
  </w:endnote>
  <w:endnote w:type="continuationSeparator" w:id="0">
    <w:p w14:paraId="0F81CE95" w14:textId="77777777" w:rsidR="001E0718" w:rsidRDefault="001E0718" w:rsidP="00765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BEB94" w14:textId="77777777" w:rsidR="001E0718" w:rsidRDefault="001E0718" w:rsidP="007655FA">
      <w:r>
        <w:separator/>
      </w:r>
    </w:p>
  </w:footnote>
  <w:footnote w:type="continuationSeparator" w:id="0">
    <w:p w14:paraId="40525A4C" w14:textId="77777777" w:rsidR="001E0718" w:rsidRDefault="001E0718" w:rsidP="00765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7F34" w14:textId="55436F22" w:rsidR="007655FA" w:rsidRPr="007655FA" w:rsidRDefault="007655FA">
    <w:pPr>
      <w:pStyle w:val="Header"/>
      <w:rPr>
        <w:rFonts w:ascii="Arial" w:hAnsi="Arial" w:cs="Arial"/>
      </w:rPr>
    </w:pPr>
    <w:r w:rsidRPr="007655FA">
      <w:rPr>
        <w:rFonts w:ascii="Arial" w:hAnsi="Arial" w:cs="Arial"/>
      </w:rPr>
      <w:t>ATTACHMENT A</w:t>
    </w:r>
    <w:r w:rsidR="00E203C4">
      <w:rPr>
        <w:rFonts w:ascii="Arial" w:hAnsi="Arial" w:cs="Arial"/>
      </w:rPr>
      <w:tab/>
    </w:r>
    <w:r w:rsidR="00E203C4">
      <w:rPr>
        <w:rFonts w:ascii="Arial" w:hAnsi="Arial" w:cs="Arial"/>
      </w:rPr>
      <w:tab/>
      <w:t>06/25/2026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82"/>
    <w:rsid w:val="0015635B"/>
    <w:rsid w:val="001E0718"/>
    <w:rsid w:val="00207249"/>
    <w:rsid w:val="00590260"/>
    <w:rsid w:val="005F21F9"/>
    <w:rsid w:val="007655FA"/>
    <w:rsid w:val="00CE4374"/>
    <w:rsid w:val="00E203C4"/>
    <w:rsid w:val="00E96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4927"/>
  <w15:chartTrackingRefBased/>
  <w15:docId w15:val="{00BFDF02-5903-4274-B4B9-077AA8DD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F82"/>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E96F82"/>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96F82"/>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96F82"/>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96F82"/>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96F82"/>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96F8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96F8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96F8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96F8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F82"/>
    <w:rPr>
      <w:rFonts w:eastAsiaTheme="majorEastAsia" w:cstheme="majorBidi"/>
      <w:color w:val="272727" w:themeColor="text1" w:themeTint="D8"/>
    </w:rPr>
  </w:style>
  <w:style w:type="paragraph" w:styleId="Title">
    <w:name w:val="Title"/>
    <w:basedOn w:val="Normal"/>
    <w:next w:val="Normal"/>
    <w:link w:val="TitleChar"/>
    <w:uiPriority w:val="10"/>
    <w:qFormat/>
    <w:rsid w:val="00E96F82"/>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96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F8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96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F8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96F82"/>
    <w:rPr>
      <w:i/>
      <w:iCs/>
      <w:color w:val="404040" w:themeColor="text1" w:themeTint="BF"/>
    </w:rPr>
  </w:style>
  <w:style w:type="paragraph" w:styleId="ListParagraph">
    <w:name w:val="List Paragraph"/>
    <w:basedOn w:val="Normal"/>
    <w:uiPriority w:val="34"/>
    <w:qFormat/>
    <w:rsid w:val="00E96F82"/>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96F82"/>
    <w:rPr>
      <w:i/>
      <w:iCs/>
      <w:color w:val="0F4761" w:themeColor="accent1" w:themeShade="BF"/>
    </w:rPr>
  </w:style>
  <w:style w:type="paragraph" w:styleId="IntenseQuote">
    <w:name w:val="Intense Quote"/>
    <w:basedOn w:val="Normal"/>
    <w:next w:val="Normal"/>
    <w:link w:val="IntenseQuoteChar"/>
    <w:uiPriority w:val="30"/>
    <w:qFormat/>
    <w:rsid w:val="00E96F82"/>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96F82"/>
    <w:rPr>
      <w:i/>
      <w:iCs/>
      <w:color w:val="0F4761" w:themeColor="accent1" w:themeShade="BF"/>
    </w:rPr>
  </w:style>
  <w:style w:type="character" w:styleId="IntenseReference">
    <w:name w:val="Intense Reference"/>
    <w:basedOn w:val="DefaultParagraphFont"/>
    <w:uiPriority w:val="32"/>
    <w:qFormat/>
    <w:rsid w:val="00E96F82"/>
    <w:rPr>
      <w:b/>
      <w:bCs/>
      <w:smallCaps/>
      <w:color w:val="0F4761" w:themeColor="accent1" w:themeShade="BF"/>
      <w:spacing w:val="5"/>
    </w:rPr>
  </w:style>
  <w:style w:type="paragraph" w:styleId="Header">
    <w:name w:val="header"/>
    <w:basedOn w:val="Normal"/>
    <w:link w:val="HeaderChar"/>
    <w:uiPriority w:val="99"/>
    <w:unhideWhenUsed/>
    <w:rsid w:val="007655FA"/>
    <w:pPr>
      <w:tabs>
        <w:tab w:val="center" w:pos="4680"/>
        <w:tab w:val="right" w:pos="9360"/>
      </w:tabs>
    </w:pPr>
  </w:style>
  <w:style w:type="character" w:customStyle="1" w:styleId="HeaderChar">
    <w:name w:val="Header Char"/>
    <w:basedOn w:val="DefaultParagraphFont"/>
    <w:link w:val="Header"/>
    <w:uiPriority w:val="99"/>
    <w:rsid w:val="007655FA"/>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7655FA"/>
    <w:pPr>
      <w:tabs>
        <w:tab w:val="center" w:pos="4680"/>
        <w:tab w:val="right" w:pos="9360"/>
      </w:tabs>
    </w:pPr>
  </w:style>
  <w:style w:type="character" w:customStyle="1" w:styleId="FooterChar">
    <w:name w:val="Footer Char"/>
    <w:basedOn w:val="DefaultParagraphFont"/>
    <w:link w:val="Footer"/>
    <w:uiPriority w:val="99"/>
    <w:rsid w:val="007655FA"/>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1588</Characters>
  <Application>Microsoft Office Word</Application>
  <DocSecurity>0</DocSecurity>
  <Lines>37</Lines>
  <Paragraphs>15</Paragraphs>
  <ScaleCrop>false</ScaleCrop>
  <Company>Department of the Interior</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 Sheila L</dc:creator>
  <cp:keywords/>
  <dc:description/>
  <cp:lastModifiedBy>Spring, Sheila L</cp:lastModifiedBy>
  <cp:revision>3</cp:revision>
  <dcterms:created xsi:type="dcterms:W3CDTF">2026-06-17T18:51:00Z</dcterms:created>
  <dcterms:modified xsi:type="dcterms:W3CDTF">2026-06-25T11:52:00Z</dcterms:modified>
</cp:coreProperties>
</file>